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DC" w:rsidRDefault="00E95A71">
      <w:pPr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СООБЩЕНИЕ</w:t>
      </w:r>
    </w:p>
    <w:p w:rsidR="00CE3DDC" w:rsidRDefault="00E95A71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spacing w:val="-6"/>
        </w:rPr>
      </w:pPr>
      <w:r>
        <w:rPr>
          <w:b/>
          <w:color w:val="000000" w:themeColor="text1"/>
          <w:spacing w:val="-6"/>
        </w:rPr>
        <w:t>о проведении годового общего собрания акционеров</w:t>
      </w:r>
    </w:p>
    <w:p w:rsidR="00CE3DDC" w:rsidRDefault="00E95A71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АО </w:t>
      </w:r>
      <w:r>
        <w:rPr>
          <w:bCs/>
          <w:color w:val="000000" w:themeColor="text1"/>
          <w:spacing w:val="-7"/>
        </w:rPr>
        <w:t>«Газпром газораспределение Элиста»</w:t>
      </w:r>
    </w:p>
    <w:p w:rsidR="00CE3DDC" w:rsidRDefault="00CE3DDC">
      <w:pPr>
        <w:shd w:val="clear" w:color="auto" w:fill="FFFFFF"/>
        <w:tabs>
          <w:tab w:val="left" w:pos="993"/>
          <w:tab w:val="left" w:pos="9720"/>
        </w:tabs>
        <w:jc w:val="center"/>
        <w:rPr>
          <w:color w:val="000000" w:themeColor="text1"/>
        </w:rPr>
      </w:pPr>
    </w:p>
    <w:p w:rsidR="00CE3DDC" w:rsidRDefault="00E95A71">
      <w:pPr>
        <w:pStyle w:val="1"/>
        <w:tabs>
          <w:tab w:val="left" w:pos="993"/>
          <w:tab w:val="left" w:pos="9720"/>
        </w:tabs>
        <w:spacing w:after="60"/>
        <w:rPr>
          <w:bCs w:val="0"/>
          <w:color w:val="000000" w:themeColor="text1"/>
          <w:spacing w:val="0"/>
          <w:sz w:val="24"/>
          <w:szCs w:val="24"/>
        </w:rPr>
      </w:pPr>
      <w:r>
        <w:rPr>
          <w:bCs w:val="0"/>
          <w:color w:val="000000" w:themeColor="text1"/>
          <w:spacing w:val="0"/>
          <w:sz w:val="24"/>
          <w:szCs w:val="24"/>
        </w:rPr>
        <w:t>УВАЖАЕМЫЙ АКЦИОНЕР!</w:t>
      </w:r>
    </w:p>
    <w:p w:rsidR="00CE3DDC" w:rsidRDefault="00CE3DDC">
      <w:pPr>
        <w:shd w:val="clear" w:color="auto" w:fill="FFFFFF"/>
        <w:tabs>
          <w:tab w:val="left" w:pos="993"/>
        </w:tabs>
        <w:ind w:firstLine="709"/>
        <w:jc w:val="both"/>
        <w:rPr>
          <w:iCs/>
          <w:color w:val="000000" w:themeColor="text1"/>
        </w:rPr>
      </w:pPr>
    </w:p>
    <w:p w:rsidR="00CE3DDC" w:rsidRDefault="00E95A71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</w:rPr>
      </w:pPr>
      <w:r>
        <w:rPr>
          <w:bCs/>
          <w:iCs/>
          <w:color w:val="000000" w:themeColor="text1"/>
        </w:rPr>
        <w:t xml:space="preserve">Акционерное общество «Газпром газораспределение Элиста» </w:t>
      </w:r>
      <w:r>
        <w:rPr>
          <w:iCs/>
          <w:color w:val="000000" w:themeColor="text1"/>
        </w:rPr>
        <w:t xml:space="preserve"> (далее – Общество) </w:t>
      </w:r>
      <w:r>
        <w:rPr>
          <w:color w:val="000000" w:themeColor="text1"/>
        </w:rPr>
        <w:t>уведомляет Вас о проведении годового о</w:t>
      </w:r>
      <w:r>
        <w:rPr>
          <w:color w:val="000000" w:themeColor="text1"/>
          <w:spacing w:val="-2"/>
        </w:rPr>
        <w:t>бщего собрания акционеров</w:t>
      </w:r>
      <w:r>
        <w:rPr>
          <w:b/>
          <w:color w:val="000000" w:themeColor="text1"/>
          <w:spacing w:val="-2"/>
        </w:rPr>
        <w:t>.</w:t>
      </w:r>
    </w:p>
    <w:p w:rsidR="00CE3DDC" w:rsidRDefault="00E95A71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Cs/>
          <w:color w:val="000000" w:themeColor="text1"/>
        </w:rPr>
      </w:pPr>
      <w:r>
        <w:rPr>
          <w:color w:val="000000" w:themeColor="text1"/>
        </w:rPr>
        <w:t>Место нахождения Общества: Российская Федерация, Республика Калмыкия, г. Элиста</w:t>
      </w:r>
      <w:r>
        <w:rPr>
          <w:i/>
          <w:iCs/>
          <w:color w:val="000000" w:themeColor="text1"/>
        </w:rPr>
        <w:t>.</w:t>
      </w:r>
    </w:p>
    <w:p w:rsidR="00CE3DDC" w:rsidRDefault="00E95A71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/>
          <w:iCs/>
          <w:color w:val="000000" w:themeColor="text1"/>
        </w:rPr>
      </w:pPr>
      <w:r>
        <w:rPr>
          <w:color w:val="000000" w:themeColor="text1"/>
          <w:spacing w:val="-2"/>
        </w:rPr>
        <w:t>Форма проведения общего</w:t>
      </w:r>
      <w:r>
        <w:rPr>
          <w:iCs/>
          <w:color w:val="000000" w:themeColor="text1"/>
          <w:spacing w:val="-1"/>
        </w:rPr>
        <w:t xml:space="preserve"> собрания: </w:t>
      </w:r>
      <w:r>
        <w:rPr>
          <w:b/>
          <w:iCs/>
          <w:color w:val="000000" w:themeColor="text1"/>
          <w:spacing w:val="-1"/>
        </w:rPr>
        <w:t>заочное голосование</w:t>
      </w:r>
      <w:r>
        <w:rPr>
          <w:i/>
          <w:iCs/>
          <w:color w:val="000000" w:themeColor="text1"/>
          <w:spacing w:val="-3"/>
        </w:rPr>
        <w:t>.</w:t>
      </w:r>
    </w:p>
    <w:p w:rsidR="00CE3DDC" w:rsidRDefault="00E95A71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bCs/>
          <w:color w:val="000000" w:themeColor="text1"/>
        </w:rPr>
        <w:t>Дата проведения собрания</w:t>
      </w:r>
      <w:r>
        <w:rPr>
          <w:rFonts w:eastAsiaTheme="minorHAnsi"/>
          <w:bCs/>
          <w:color w:val="000000" w:themeColor="text1"/>
          <w:lang w:eastAsia="en-US"/>
        </w:rPr>
        <w:t xml:space="preserve"> (дата окончания приема бюллетеней для голосования):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>
        <w:rPr>
          <w:b/>
          <w:bCs/>
          <w:color w:val="000000" w:themeColor="text1"/>
        </w:rPr>
        <w:t>27 июня 2024 года.</w:t>
      </w:r>
    </w:p>
    <w:p w:rsidR="00CE3DDC" w:rsidRDefault="00E95A7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color w:val="000000" w:themeColor="text1"/>
        </w:rPr>
      </w:pPr>
      <w:r>
        <w:rPr>
          <w:color w:val="000000" w:themeColor="text1"/>
        </w:rPr>
        <w:t xml:space="preserve">Почтовый адрес, по которому должны направляться заполненные бюллетени для голосования: </w:t>
      </w:r>
      <w:r>
        <w:rPr>
          <w:b/>
          <w:iCs/>
          <w:color w:val="000000" w:themeColor="text1"/>
          <w:spacing w:val="-1"/>
        </w:rPr>
        <w:t>358000, Республика Калмыкия, г. Элиста, ул. В.И. Ленина, д. 272</w:t>
      </w:r>
      <w:r>
        <w:rPr>
          <w:b/>
          <w:i/>
          <w:iCs/>
          <w:color w:val="000000" w:themeColor="text1"/>
        </w:rPr>
        <w:t>.</w:t>
      </w:r>
    </w:p>
    <w:p w:rsidR="00CE3DDC" w:rsidRDefault="00E95A71">
      <w:pPr>
        <w:tabs>
          <w:tab w:val="left" w:pos="993"/>
        </w:tabs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>Дата, на которую определяются (фиксируются) лица, имеющие право на участие в общем со</w:t>
      </w:r>
      <w:r>
        <w:rPr>
          <w:color w:val="000000" w:themeColor="text1"/>
        </w:rPr>
        <w:t xml:space="preserve">брании: </w:t>
      </w:r>
      <w:r>
        <w:rPr>
          <w:b/>
          <w:color w:val="000000" w:themeColor="text1"/>
        </w:rPr>
        <w:t>02</w:t>
      </w:r>
      <w:r>
        <w:rPr>
          <w:b/>
          <w:color w:val="000000" w:themeColor="text1"/>
          <w:spacing w:val="-2"/>
        </w:rPr>
        <w:t xml:space="preserve"> июня 2024 года</w:t>
      </w:r>
      <w:r>
        <w:rPr>
          <w:b/>
          <w:color w:val="000000" w:themeColor="text1"/>
        </w:rPr>
        <w:t xml:space="preserve">. </w:t>
      </w:r>
    </w:p>
    <w:p w:rsidR="00CE3DDC" w:rsidRDefault="00E95A71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>
        <w:rPr>
          <w:b/>
          <w:color w:val="000000" w:themeColor="text1"/>
        </w:rPr>
        <w:t>обыкновенные акции.</w:t>
      </w:r>
    </w:p>
    <w:p w:rsidR="00CE3DDC" w:rsidRDefault="00CE3DDC">
      <w:pPr>
        <w:tabs>
          <w:tab w:val="left" w:pos="993"/>
        </w:tabs>
        <w:ind w:firstLine="709"/>
        <w:jc w:val="both"/>
        <w:rPr>
          <w:b/>
          <w:color w:val="000000" w:themeColor="text1"/>
        </w:rPr>
      </w:pPr>
    </w:p>
    <w:p w:rsidR="00CE3DDC" w:rsidRDefault="00E95A71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Повестка дня:</w:t>
      </w:r>
    </w:p>
    <w:p w:rsidR="00CE3DDC" w:rsidRDefault="00E95A71">
      <w:pPr>
        <w:pStyle w:val="afb"/>
        <w:widowControl w:val="0"/>
        <w:numPr>
          <w:ilvl w:val="0"/>
          <w:numId w:val="2"/>
        </w:numPr>
        <w:shd w:val="clear" w:color="auto" w:fill="FFFFFF"/>
        <w:tabs>
          <w:tab w:val="left" w:pos="992"/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Избрание председательствующего на годовом общем собрании акционеров Общества и секретаря собрания.</w:t>
      </w:r>
    </w:p>
    <w:p w:rsidR="00CE3DDC" w:rsidRDefault="00E95A71">
      <w:pPr>
        <w:pStyle w:val="afb"/>
        <w:widowControl w:val="0"/>
        <w:numPr>
          <w:ilvl w:val="0"/>
          <w:numId w:val="2"/>
        </w:numPr>
        <w:shd w:val="clear" w:color="auto" w:fill="FFFFFF"/>
        <w:tabs>
          <w:tab w:val="left" w:pos="992"/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Утверждение годового отчета Общества за 2023 год.</w:t>
      </w:r>
    </w:p>
    <w:p w:rsidR="00CE3DDC" w:rsidRDefault="00E95A71">
      <w:pPr>
        <w:pStyle w:val="afb"/>
        <w:widowControl w:val="0"/>
        <w:numPr>
          <w:ilvl w:val="0"/>
          <w:numId w:val="2"/>
        </w:numPr>
        <w:shd w:val="clear" w:color="auto" w:fill="FFFFFF"/>
        <w:tabs>
          <w:tab w:val="left" w:pos="992"/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Утверждение годовой бухгалтерской (финансовой) отчетности Общества за 2023 год.</w:t>
      </w:r>
    </w:p>
    <w:p w:rsidR="00CE3DDC" w:rsidRDefault="00E95A71">
      <w:pPr>
        <w:pStyle w:val="afb"/>
        <w:widowControl w:val="0"/>
        <w:numPr>
          <w:ilvl w:val="0"/>
          <w:numId w:val="2"/>
        </w:numPr>
        <w:shd w:val="clear" w:color="auto" w:fill="FFFFFF"/>
        <w:tabs>
          <w:tab w:val="left" w:pos="992"/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Распределение прибыли (в то</w:t>
      </w:r>
      <w:r>
        <w:rPr>
          <w:color w:val="000000" w:themeColor="text1"/>
        </w:rPr>
        <w:t>м числе выплата (объявление) дивидендов) и убытков Общества по результатам 2023 года.</w:t>
      </w:r>
    </w:p>
    <w:p w:rsidR="00CE3DDC" w:rsidRDefault="00E95A71">
      <w:pPr>
        <w:pStyle w:val="afb"/>
        <w:widowControl w:val="0"/>
        <w:numPr>
          <w:ilvl w:val="0"/>
          <w:numId w:val="2"/>
        </w:numPr>
        <w:shd w:val="clear" w:color="auto" w:fill="FFFFFF"/>
        <w:tabs>
          <w:tab w:val="left" w:pos="992"/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О размере, сроках и форме выплаты дивидендов по результатам 2023 года.</w:t>
      </w:r>
    </w:p>
    <w:p w:rsidR="00CE3DDC" w:rsidRDefault="00E95A71">
      <w:pPr>
        <w:pStyle w:val="afb"/>
        <w:widowControl w:val="0"/>
        <w:numPr>
          <w:ilvl w:val="0"/>
          <w:numId w:val="2"/>
        </w:numPr>
        <w:shd w:val="clear" w:color="auto" w:fill="FFFFFF"/>
        <w:tabs>
          <w:tab w:val="left" w:pos="992"/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О размере вознаграждений, выплачиваемых членам Совета директоров и членам ревизионной комиссии Обще</w:t>
      </w:r>
      <w:r>
        <w:rPr>
          <w:color w:val="000000" w:themeColor="text1"/>
        </w:rPr>
        <w:t>ства по результатам работы в 2023 году.</w:t>
      </w:r>
    </w:p>
    <w:p w:rsidR="00CE3DDC" w:rsidRDefault="00E95A71">
      <w:pPr>
        <w:pStyle w:val="afb"/>
        <w:widowControl w:val="0"/>
        <w:numPr>
          <w:ilvl w:val="0"/>
          <w:numId w:val="2"/>
        </w:numPr>
        <w:shd w:val="clear" w:color="auto" w:fill="FFFFFF"/>
        <w:tabs>
          <w:tab w:val="left" w:pos="992"/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Избрание членов Совета директоров Общества.</w:t>
      </w:r>
    </w:p>
    <w:p w:rsidR="00CE3DDC" w:rsidRDefault="00E95A71">
      <w:pPr>
        <w:pStyle w:val="afb"/>
        <w:widowControl w:val="0"/>
        <w:numPr>
          <w:ilvl w:val="0"/>
          <w:numId w:val="2"/>
        </w:numPr>
        <w:shd w:val="clear" w:color="auto" w:fill="FFFFFF"/>
        <w:tabs>
          <w:tab w:val="left" w:pos="992"/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Избрание членов ревизионной комиссии Общества.</w:t>
      </w:r>
    </w:p>
    <w:p w:rsidR="00CE3DDC" w:rsidRDefault="00E95A71">
      <w:pPr>
        <w:pStyle w:val="afb"/>
        <w:widowControl w:val="0"/>
        <w:numPr>
          <w:ilvl w:val="0"/>
          <w:numId w:val="2"/>
        </w:numPr>
        <w:shd w:val="clear" w:color="auto" w:fill="FFFFFF"/>
        <w:tabs>
          <w:tab w:val="left" w:pos="992"/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Избрание членов счетной комиссии Общества.</w:t>
      </w:r>
    </w:p>
    <w:p w:rsidR="00CE3DDC" w:rsidRDefault="00E95A71">
      <w:pPr>
        <w:pStyle w:val="afb"/>
        <w:widowControl w:val="0"/>
        <w:numPr>
          <w:ilvl w:val="0"/>
          <w:numId w:val="2"/>
        </w:numPr>
        <w:shd w:val="clear" w:color="auto" w:fill="FFFFFF"/>
        <w:tabs>
          <w:tab w:val="left" w:pos="992"/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О назначен</w:t>
      </w:r>
      <w:proofErr w:type="gramStart"/>
      <w:r>
        <w:rPr>
          <w:color w:val="000000" w:themeColor="text1"/>
        </w:rPr>
        <w:t>ии ау</w:t>
      </w:r>
      <w:proofErr w:type="gramEnd"/>
      <w:r>
        <w:rPr>
          <w:color w:val="000000" w:themeColor="text1"/>
        </w:rPr>
        <w:t>диторской организации Общества.</w:t>
      </w:r>
    </w:p>
    <w:p w:rsidR="00CE3DDC" w:rsidRDefault="00E95A71">
      <w:pPr>
        <w:pStyle w:val="afb"/>
        <w:widowControl w:val="0"/>
        <w:numPr>
          <w:ilvl w:val="0"/>
          <w:numId w:val="2"/>
        </w:numPr>
        <w:shd w:val="clear" w:color="auto" w:fill="FFFFFF"/>
        <w:tabs>
          <w:tab w:val="left" w:pos="992"/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Утверждение Устава Общества в новой</w:t>
      </w:r>
      <w:r>
        <w:rPr>
          <w:color w:val="000000" w:themeColor="text1"/>
        </w:rPr>
        <w:t xml:space="preserve"> редакции.</w:t>
      </w:r>
    </w:p>
    <w:p w:rsidR="00CE3DDC" w:rsidRDefault="00CE3DDC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</w:p>
    <w:p w:rsidR="00CE3DDC" w:rsidRDefault="00E95A71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С информацией (материалами) по вопросам повестки дня годового общего собрания акционеров можно ознакомиться </w:t>
      </w:r>
      <w:r>
        <w:rPr>
          <w:b/>
          <w:color w:val="000000" w:themeColor="text1"/>
        </w:rPr>
        <w:t xml:space="preserve">в течение двадцати дней </w:t>
      </w:r>
      <w:r>
        <w:rPr>
          <w:color w:val="000000" w:themeColor="text1"/>
        </w:rPr>
        <w:t xml:space="preserve">до проведения годового общего собрания акционеров по адресу: </w:t>
      </w:r>
      <w:r>
        <w:rPr>
          <w:color w:val="000000"/>
        </w:rPr>
        <w:t xml:space="preserve">Республика Калмыкия, г. Элиста, ул. </w:t>
      </w:r>
      <w:proofErr w:type="spellStart"/>
      <w:r>
        <w:rPr>
          <w:color w:val="000000"/>
        </w:rPr>
        <w:t>В.И.Ленина</w:t>
      </w:r>
      <w:proofErr w:type="spellEnd"/>
      <w:r>
        <w:rPr>
          <w:color w:val="000000"/>
        </w:rPr>
        <w:t xml:space="preserve">, д. </w:t>
      </w:r>
      <w:r>
        <w:rPr>
          <w:color w:val="000000"/>
        </w:rPr>
        <w:t xml:space="preserve">272,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 303</w:t>
      </w:r>
      <w:r>
        <w:rPr>
          <w:color w:val="000000" w:themeColor="text1"/>
        </w:rPr>
        <w:t xml:space="preserve">, с понедельника по пятницу с 08 часов 00 минут до 15 часов 45 минут, справки по тел. </w:t>
      </w:r>
      <w:r>
        <w:rPr>
          <w:color w:val="000000"/>
        </w:rPr>
        <w:t>8(84722) 6-28-01</w:t>
      </w:r>
      <w:r>
        <w:rPr>
          <w:color w:val="000000" w:themeColor="text1"/>
        </w:rPr>
        <w:t xml:space="preserve">, контактное лицо М.Т. </w:t>
      </w:r>
      <w:proofErr w:type="spellStart"/>
      <w:r>
        <w:rPr>
          <w:color w:val="000000"/>
        </w:rPr>
        <w:t>Кекеев</w:t>
      </w:r>
      <w:proofErr w:type="spellEnd"/>
      <w:r>
        <w:rPr>
          <w:i/>
          <w:color w:val="000000" w:themeColor="text1"/>
        </w:rPr>
        <w:t>.</w:t>
      </w:r>
    </w:p>
    <w:p w:rsidR="00CE3DDC" w:rsidRDefault="00E95A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CE3DDC" w:rsidRDefault="00E95A71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Акционеры, чьи права на ценные бумаги учитываются номинальным держателем, вправе принимать участие в общем собрании и осуществлять свое прав</w:t>
      </w:r>
      <w:r>
        <w:rPr>
          <w:color w:val="000000" w:themeColor="text1"/>
        </w:rPr>
        <w:t>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CE3DDC" w:rsidRDefault="00E95A71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proofErr w:type="gramStart"/>
      <w:r>
        <w:rPr>
          <w:rFonts w:eastAsiaTheme="minorHAnsi"/>
          <w:color w:val="000000" w:themeColor="text1"/>
          <w:lang w:eastAsia="en-US"/>
        </w:rPr>
        <w:t>Доверенность на голосование должна содержать сведения о представляемом и представителе (для физического ли</w:t>
      </w:r>
      <w:r>
        <w:rPr>
          <w:rFonts w:eastAsiaTheme="minorHAnsi"/>
          <w:color w:val="000000" w:themeColor="text1"/>
          <w:lang w:eastAsia="en-US"/>
        </w:rPr>
        <w:t>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Доверенность на голосование должна быть оформлена в</w:t>
      </w:r>
      <w:r>
        <w:rPr>
          <w:rFonts w:eastAsiaTheme="minorHAnsi"/>
          <w:color w:val="000000" w:themeColor="text1"/>
          <w:lang w:eastAsia="en-US"/>
        </w:rPr>
        <w:t xml:space="preserve"> соответствии с требованиями </w:t>
      </w:r>
      <w:hyperlink r:id="rId9" w:tooltip="consultantplus://offline/ref=E8A6DE5D2340E232D26F92EFCE4A7092BCFBFF6F5BF3FDD6BE71C61629C81A6E416FF7BCEBFA3E954C52FA28D789A490E4BBE2C006M9v5L" w:history="1">
        <w:r>
          <w:rPr>
            <w:rFonts w:eastAsiaTheme="minorHAnsi"/>
            <w:color w:val="000000" w:themeColor="text1"/>
            <w:lang w:eastAsia="en-US"/>
          </w:rPr>
          <w:t>пунктов 3</w:t>
        </w:r>
      </w:hyperlink>
      <w:r>
        <w:rPr>
          <w:rFonts w:eastAsiaTheme="minorHAnsi"/>
          <w:color w:val="000000" w:themeColor="text1"/>
          <w:lang w:eastAsia="en-US"/>
        </w:rPr>
        <w:t xml:space="preserve"> и </w:t>
      </w:r>
      <w:hyperlink r:id="rId10" w:tooltip="consultantplus://offline/ref=E8A6DE5D2340E232D26F92EFCE4A7092BCFBFF6F5BF3FDD6BE71C61629C81A6E416FF7BCEBFB3E954C52FA28D789A490E4BBE2C006M9v5L" w:history="1">
        <w:r>
          <w:rPr>
            <w:rFonts w:eastAsiaTheme="minorHAnsi"/>
            <w:color w:val="000000" w:themeColor="text1"/>
            <w:lang w:eastAsia="en-US"/>
          </w:rPr>
          <w:t>4 статьи 185.1</w:t>
        </w:r>
      </w:hyperlink>
      <w:r>
        <w:rPr>
          <w:rFonts w:eastAsiaTheme="minorHAnsi"/>
          <w:color w:val="000000" w:themeColor="text1"/>
          <w:lang w:eastAsia="en-US"/>
        </w:rPr>
        <w:t xml:space="preserve"> Гражданского кодекса Российской Федерации или удостоверена нотариально.</w:t>
      </w:r>
    </w:p>
    <w:p w:rsidR="00CE3DDC" w:rsidRDefault="00E95A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lastRenderedPageBreak/>
        <w:t>Документы, удостоверяющие полномоч</w:t>
      </w:r>
      <w:r>
        <w:rPr>
          <w:iCs/>
          <w:color w:val="000000" w:themeColor="text1"/>
        </w:rPr>
        <w:t xml:space="preserve">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должны быть </w:t>
      </w:r>
      <w:r>
        <w:rPr>
          <w:bCs/>
          <w:iCs/>
          <w:color w:val="000000" w:themeColor="text1"/>
        </w:rPr>
        <w:t>направлены вместе с бюллетенем для голосования</w:t>
      </w:r>
      <w:r>
        <w:rPr>
          <w:iCs/>
          <w:color w:val="000000" w:themeColor="text1"/>
        </w:rPr>
        <w:t>.</w:t>
      </w:r>
    </w:p>
    <w:p w:rsidR="00CE3DDC" w:rsidRDefault="00E95A71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Принявшими участие в общем собрании акцио</w:t>
      </w:r>
      <w:r>
        <w:rPr>
          <w:rFonts w:eastAsiaTheme="minorHAnsi"/>
          <w:color w:val="000000" w:themeColor="text1"/>
          <w:lang w:eastAsia="en-US"/>
        </w:rPr>
        <w:t>неров считаются:</w:t>
      </w:r>
    </w:p>
    <w:p w:rsidR="00CE3DDC" w:rsidRDefault="00E95A71">
      <w:pPr>
        <w:ind w:firstLine="709"/>
        <w:jc w:val="both"/>
        <w:rPr>
          <w:rFonts w:eastAsiaTheme="minorHAnsi"/>
          <w:i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- акционеры, бюллетени которых получены до даты окончания приема бюллетеней, последний день приема бюллетеней - </w:t>
      </w:r>
      <w:r>
        <w:rPr>
          <w:b/>
          <w:color w:val="000000" w:themeColor="text1"/>
          <w:spacing w:val="-2"/>
        </w:rPr>
        <w:t>26 июня 2024 года</w:t>
      </w:r>
      <w:r>
        <w:rPr>
          <w:b/>
          <w:color w:val="000000" w:themeColor="text1"/>
        </w:rPr>
        <w:t xml:space="preserve">. </w:t>
      </w:r>
    </w:p>
    <w:p w:rsidR="00CE3DDC" w:rsidRDefault="00E95A71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-</w:t>
      </w:r>
      <w:r>
        <w:rPr>
          <w:rFonts w:eastAsiaTheme="minorHAnsi"/>
          <w:color w:val="000000" w:themeColor="text1"/>
          <w:lang w:val="en-US" w:eastAsia="en-US"/>
        </w:rPr>
        <w:t> </w:t>
      </w:r>
      <w:r>
        <w:rPr>
          <w:rFonts w:eastAsiaTheme="minorHAnsi"/>
          <w:color w:val="000000" w:themeColor="text1"/>
          <w:lang w:eastAsia="en-US"/>
        </w:rPr>
        <w:t xml:space="preserve">акционеры, которые в соответствии с правилами </w:t>
      </w:r>
      <w:hyperlink r:id="rId11" w:tooltip="consultantplus://offline/ref=6F67E2581701D00929E4F46049104D6C3649FF152178FC64419F7EC3EB820C64B945127E672BAE72F8AAF08F28CF447F4ED4AFCFB3E7H3A6M" w:history="1">
        <w:r>
          <w:rPr>
            <w:rFonts w:eastAsiaTheme="minorHAnsi"/>
            <w:color w:val="000000" w:themeColor="text1"/>
            <w:lang w:eastAsia="en-US"/>
          </w:rPr>
          <w:t>законода</w:t>
        </w:r>
        <w:r>
          <w:rPr>
            <w:rFonts w:eastAsiaTheme="minorHAnsi"/>
            <w:color w:val="000000" w:themeColor="text1"/>
            <w:lang w:eastAsia="en-US"/>
          </w:rPr>
          <w:t>тельства</w:t>
        </w:r>
      </w:hyperlink>
      <w:r>
        <w:rPr>
          <w:rFonts w:eastAsiaTheme="minorHAnsi"/>
          <w:color w:val="000000" w:themeColor="text1"/>
          <w:lang w:eastAsia="en-US"/>
        </w:rPr>
        <w:t xml:space="preserve">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бюллетеней, последний день приема сообщения о волеиз</w:t>
      </w:r>
      <w:r>
        <w:rPr>
          <w:rFonts w:eastAsiaTheme="minorHAnsi"/>
          <w:color w:val="000000" w:themeColor="text1"/>
          <w:lang w:eastAsia="en-US"/>
        </w:rPr>
        <w:t xml:space="preserve">ъявлении – </w:t>
      </w:r>
      <w:r>
        <w:rPr>
          <w:b/>
          <w:color w:val="000000" w:themeColor="text1"/>
          <w:spacing w:val="-2"/>
        </w:rPr>
        <w:t>26 июня 2024 года</w:t>
      </w:r>
      <w:r>
        <w:rPr>
          <w:b/>
          <w:color w:val="000000" w:themeColor="text1"/>
        </w:rPr>
        <w:t>.</w:t>
      </w:r>
    </w:p>
    <w:sectPr w:rsidR="00CE3DDC">
      <w:pgSz w:w="11909" w:h="16834"/>
      <w:pgMar w:top="1134" w:right="710" w:bottom="851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71" w:rsidRDefault="00E95A71">
      <w:r>
        <w:separator/>
      </w:r>
    </w:p>
  </w:endnote>
  <w:endnote w:type="continuationSeparator" w:id="0">
    <w:p w:rsidR="00E95A71" w:rsidRDefault="00E9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71" w:rsidRDefault="00E95A71">
      <w:r>
        <w:separator/>
      </w:r>
    </w:p>
  </w:footnote>
  <w:footnote w:type="continuationSeparator" w:id="0">
    <w:p w:rsidR="00E95A71" w:rsidRDefault="00E9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1CA"/>
    <w:multiLevelType w:val="hybridMultilevel"/>
    <w:tmpl w:val="87B4842C"/>
    <w:lvl w:ilvl="0" w:tplc="08643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19602DC">
      <w:start w:val="1"/>
      <w:numFmt w:val="lowerLetter"/>
      <w:lvlText w:val="%2."/>
      <w:lvlJc w:val="left"/>
      <w:pPr>
        <w:ind w:left="1789" w:hanging="360"/>
      </w:pPr>
    </w:lvl>
    <w:lvl w:ilvl="2" w:tplc="03AAE4C0">
      <w:start w:val="1"/>
      <w:numFmt w:val="lowerRoman"/>
      <w:lvlText w:val="%3."/>
      <w:lvlJc w:val="right"/>
      <w:pPr>
        <w:ind w:left="2509" w:hanging="180"/>
      </w:pPr>
    </w:lvl>
    <w:lvl w:ilvl="3" w:tplc="55A4D044">
      <w:start w:val="1"/>
      <w:numFmt w:val="decimal"/>
      <w:lvlText w:val="%4."/>
      <w:lvlJc w:val="left"/>
      <w:pPr>
        <w:ind w:left="3229" w:hanging="360"/>
      </w:pPr>
    </w:lvl>
    <w:lvl w:ilvl="4" w:tplc="65B2FBB2">
      <w:start w:val="1"/>
      <w:numFmt w:val="lowerLetter"/>
      <w:lvlText w:val="%5."/>
      <w:lvlJc w:val="left"/>
      <w:pPr>
        <w:ind w:left="3949" w:hanging="360"/>
      </w:pPr>
    </w:lvl>
    <w:lvl w:ilvl="5" w:tplc="67DE0CE4">
      <w:start w:val="1"/>
      <w:numFmt w:val="lowerRoman"/>
      <w:lvlText w:val="%6."/>
      <w:lvlJc w:val="right"/>
      <w:pPr>
        <w:ind w:left="4669" w:hanging="180"/>
      </w:pPr>
    </w:lvl>
    <w:lvl w:ilvl="6" w:tplc="02F83144">
      <w:start w:val="1"/>
      <w:numFmt w:val="decimal"/>
      <w:lvlText w:val="%7."/>
      <w:lvlJc w:val="left"/>
      <w:pPr>
        <w:ind w:left="5389" w:hanging="360"/>
      </w:pPr>
    </w:lvl>
    <w:lvl w:ilvl="7" w:tplc="67441252">
      <w:start w:val="1"/>
      <w:numFmt w:val="lowerLetter"/>
      <w:lvlText w:val="%8."/>
      <w:lvlJc w:val="left"/>
      <w:pPr>
        <w:ind w:left="6109" w:hanging="360"/>
      </w:pPr>
    </w:lvl>
    <w:lvl w:ilvl="8" w:tplc="52CA936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37633B"/>
    <w:multiLevelType w:val="hybridMultilevel"/>
    <w:tmpl w:val="1DC8EAB2"/>
    <w:lvl w:ilvl="0" w:tplc="54D4C082">
      <w:start w:val="1"/>
      <w:numFmt w:val="decimal"/>
      <w:lvlText w:val="%1."/>
      <w:lvlJc w:val="left"/>
      <w:pPr>
        <w:ind w:left="1429" w:hanging="360"/>
      </w:pPr>
    </w:lvl>
    <w:lvl w:ilvl="1" w:tplc="D81EB0EC">
      <w:start w:val="1"/>
      <w:numFmt w:val="lowerLetter"/>
      <w:lvlText w:val="%2."/>
      <w:lvlJc w:val="left"/>
      <w:pPr>
        <w:ind w:left="2149" w:hanging="360"/>
      </w:pPr>
    </w:lvl>
    <w:lvl w:ilvl="2" w:tplc="EB6087F8">
      <w:start w:val="1"/>
      <w:numFmt w:val="lowerRoman"/>
      <w:lvlText w:val="%3."/>
      <w:lvlJc w:val="right"/>
      <w:pPr>
        <w:ind w:left="2869" w:hanging="180"/>
      </w:pPr>
    </w:lvl>
    <w:lvl w:ilvl="3" w:tplc="B88083E0">
      <w:start w:val="1"/>
      <w:numFmt w:val="decimal"/>
      <w:lvlText w:val="%4."/>
      <w:lvlJc w:val="left"/>
      <w:pPr>
        <w:ind w:left="3589" w:hanging="360"/>
      </w:pPr>
    </w:lvl>
    <w:lvl w:ilvl="4" w:tplc="C11E0C94">
      <w:start w:val="1"/>
      <w:numFmt w:val="lowerLetter"/>
      <w:lvlText w:val="%5."/>
      <w:lvlJc w:val="left"/>
      <w:pPr>
        <w:ind w:left="4309" w:hanging="360"/>
      </w:pPr>
    </w:lvl>
    <w:lvl w:ilvl="5" w:tplc="F00EE9E2">
      <w:start w:val="1"/>
      <w:numFmt w:val="lowerRoman"/>
      <w:lvlText w:val="%6."/>
      <w:lvlJc w:val="right"/>
      <w:pPr>
        <w:ind w:left="5029" w:hanging="180"/>
      </w:pPr>
    </w:lvl>
    <w:lvl w:ilvl="6" w:tplc="4142F15C">
      <w:start w:val="1"/>
      <w:numFmt w:val="decimal"/>
      <w:lvlText w:val="%7."/>
      <w:lvlJc w:val="left"/>
      <w:pPr>
        <w:ind w:left="5749" w:hanging="360"/>
      </w:pPr>
    </w:lvl>
    <w:lvl w:ilvl="7" w:tplc="E06ADC60">
      <w:start w:val="1"/>
      <w:numFmt w:val="lowerLetter"/>
      <w:lvlText w:val="%8."/>
      <w:lvlJc w:val="left"/>
      <w:pPr>
        <w:ind w:left="6469" w:hanging="360"/>
      </w:pPr>
    </w:lvl>
    <w:lvl w:ilvl="8" w:tplc="0BB8F7A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DC"/>
    <w:rsid w:val="00460053"/>
    <w:rsid w:val="00CE3DDC"/>
    <w:rsid w:val="00E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67E2581701D00929E4F46049104D6C3649FF152178FC64419F7EC3EB820C64B945127E672BAE72F8AAF08F28CF447F4ED4AFCFB3E7H3A6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A6DE5D2340E232D26F92EFCE4A7092BCFBFF6F5BF3FDD6BE71C61629C81A6E416FF7BCEBFB3E954C52FA28D789A490E4BBE2C006M9v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A6DE5D2340E232D26F92EFCE4A7092BCFBFF6F5BF3FDD6BE71C61629C81A6E416FF7BCEBFA3E954C52FA28D789A490E4BBE2C006M9v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F220-B8A6-451E-A5F8-03D93396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lastModifiedBy>Кекеев Мерген Тимофеевич</cp:lastModifiedBy>
  <cp:revision>2</cp:revision>
  <dcterms:created xsi:type="dcterms:W3CDTF">2024-05-31T08:13:00Z</dcterms:created>
  <dcterms:modified xsi:type="dcterms:W3CDTF">2024-05-31T08:13:00Z</dcterms:modified>
</cp:coreProperties>
</file>